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3" w:rsidRDefault="00E173F9" w:rsidP="00E506D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7.1pt;margin-top:46.15pt;width:231.4pt;height:472.15pt;z-index:251651072" stroked="f">
            <v:textbox style="mso-next-textbox:#_x0000_s1035">
              <w:txbxContent>
                <w:p w:rsidR="00CB7D71" w:rsidRDefault="00CB7D71" w:rsidP="00E506D3">
                  <w:pPr>
                    <w:rPr>
                      <w:rFonts w:ascii="Century Gothic" w:hAnsi="Century Gothic"/>
                      <w:b/>
                      <w:i/>
                      <w:color w:val="000080"/>
                      <w:sz w:val="36"/>
                      <w:szCs w:val="36"/>
                    </w:rPr>
                  </w:pPr>
                </w:p>
                <w:p w:rsidR="00CB7D71" w:rsidRDefault="00CB7D71" w:rsidP="00E506D3">
                  <w:pPr>
                    <w:rPr>
                      <w:rFonts w:ascii="Century Gothic" w:hAnsi="Century Gothic"/>
                      <w:b/>
                      <w:i/>
                      <w:color w:val="000080"/>
                      <w:sz w:val="36"/>
                      <w:szCs w:val="36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i/>
                      <w:color w:val="000080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000080"/>
                      <w:sz w:val="36"/>
                      <w:szCs w:val="36"/>
                    </w:rPr>
                    <w:t xml:space="preserve">Available Services: 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i/>
                      <w:color w:val="000080"/>
                      <w:sz w:val="18"/>
                      <w:szCs w:val="18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  <w:t>Neuropsychological Evaluations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16"/>
                      <w:szCs w:val="16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Screening</w:t>
                  </w:r>
                </w:p>
                <w:p w:rsidR="00E506D3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Full evaluation</w:t>
                  </w:r>
                </w:p>
                <w:p w:rsidR="00E506D3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Adult ADHD evaluation</w:t>
                  </w:r>
                </w:p>
                <w:p w:rsidR="00E506D3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Psychoeducational evaluation</w:t>
                  </w:r>
                </w:p>
                <w:p w:rsidR="00E506D3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Guardianship evaluation</w:t>
                  </w:r>
                </w:p>
                <w:p w:rsidR="00E506D3" w:rsidRPr="00CB7D71" w:rsidRDefault="00E506D3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Independent</w:t>
                  </w:r>
                  <w:r>
                    <w:rPr>
                      <w:rFonts w:ascii="Century Gothic" w:hAnsi="Century Gothic"/>
                      <w:b/>
                      <w:color w:val="0066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>Living Skills</w:t>
                  </w:r>
                </w:p>
                <w:p w:rsidR="00CB7D71" w:rsidRPr="00CB7D71" w:rsidRDefault="00CB7D71" w:rsidP="00E506D3">
                  <w:pPr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color w:val="006666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 xml:space="preserve">Establish baseline </w:t>
                  </w:r>
                </w:p>
                <w:p w:rsidR="00CB7D71" w:rsidRDefault="00CB7D71" w:rsidP="00CB7D71">
                  <w:pPr>
                    <w:ind w:left="776"/>
                    <w:rPr>
                      <w:rFonts w:ascii="Century Gothic" w:hAnsi="Century Gothic"/>
                      <w:b/>
                      <w:color w:val="006666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24"/>
                    </w:rPr>
                    <w:t xml:space="preserve">     neurocognitive capacity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993366"/>
                      <w:sz w:val="28"/>
                      <w:szCs w:val="28"/>
                    </w:rPr>
                  </w:pPr>
                </w:p>
                <w:p w:rsidR="00CB7D71" w:rsidRDefault="00CB7D71" w:rsidP="00E506D3">
                  <w:pPr>
                    <w:rPr>
                      <w:rFonts w:ascii="Century Gothic" w:hAnsi="Century Gothic"/>
                      <w:b/>
                      <w:color w:val="993366"/>
                      <w:sz w:val="28"/>
                      <w:szCs w:val="28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  <w:t>Neurocognitive &amp; Memory Enhancement Strategies</w:t>
                  </w:r>
                </w:p>
                <w:p w:rsidR="00797B62" w:rsidRDefault="00797B62" w:rsidP="00E506D3">
                  <w:pP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</w:pPr>
                </w:p>
                <w:p w:rsidR="00797B62" w:rsidRDefault="00797B62" w:rsidP="00E506D3">
                  <w:pP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position:absolute;margin-left:236.3pt;margin-top:43.25pt;width:221pt;height:497.2pt;z-index:251652096" stroked="f">
            <v:textbox style="mso-next-textbox:#_x0000_s1034">
              <w:txbxContent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32"/>
                      <w:szCs w:val="32"/>
                    </w:rPr>
                    <w:t>Reasons to refer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i/>
                      <w:color w:val="006666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006666"/>
                      <w:sz w:val="28"/>
                      <w:szCs w:val="28"/>
                    </w:rPr>
                    <w:t>Concerns about: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i/>
                      <w:color w:val="993366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Memory loss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More trouble than usual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Concentrating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Finding words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Organizing daily tasks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Making decisions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Work performance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Managing</w:t>
                  </w:r>
                  <w:r w:rsidR="00CB7D71">
                    <w:rPr>
                      <w:rFonts w:ascii="Century Gothic" w:hAnsi="Century Gothic"/>
                      <w:sz w:val="24"/>
                    </w:rPr>
                    <w:t xml:space="preserve"> financial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affairs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Recovery and adjustment after</w:t>
                  </w:r>
                </w:p>
                <w:p w:rsidR="00E506D3" w:rsidRDefault="00CB7D71" w:rsidP="00E506D3">
                  <w:pPr>
                    <w:ind w:firstLine="720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illness</w:t>
                  </w:r>
                  <w:r w:rsidR="00797B62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E506D3">
                    <w:rPr>
                      <w:rFonts w:ascii="Century Gothic" w:hAnsi="Century Gothic"/>
                      <w:sz w:val="24"/>
                    </w:rPr>
                    <w:t>or trauma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Behavioral problems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Impulsivity or poor judgment</w:t>
                  </w:r>
                </w:p>
                <w:p w:rsidR="00E506D3" w:rsidRDefault="00E506D3" w:rsidP="00E506D3">
                  <w:pPr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Agitation or restlessness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Mood and affect changes</w:t>
                  </w:r>
                </w:p>
                <w:p w:rsidR="00E506D3" w:rsidRDefault="00E506D3" w:rsidP="00E506D3">
                  <w:pPr>
                    <w:numPr>
                      <w:ilvl w:val="1"/>
                      <w:numId w:val="4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Increased irritability</w:t>
                  </w:r>
                </w:p>
                <w:p w:rsidR="00E506D3" w:rsidRDefault="00E506D3" w:rsidP="00E506D3">
                  <w:pPr>
                    <w:numPr>
                      <w:ilvl w:val="1"/>
                      <w:numId w:val="4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Feelings of  sadness or anxiety</w:t>
                  </w:r>
                </w:p>
                <w:p w:rsidR="00E506D3" w:rsidRDefault="00E506D3" w:rsidP="00E506D3">
                  <w:pPr>
                    <w:numPr>
                      <w:ilvl w:val="1"/>
                      <w:numId w:val="4"/>
                    </w:numPr>
                    <w:rPr>
                      <w:rFonts w:ascii="Century Gothic" w:hAnsi="Century Gothic"/>
                      <w:i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szCs w:val="22"/>
                    </w:rPr>
                    <w:t>Loss of meaning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color w:val="006666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006666"/>
                      <w:sz w:val="28"/>
                      <w:szCs w:val="28"/>
                    </w:rPr>
                    <w:t>History of:</w:t>
                  </w:r>
                  <w:r>
                    <w:rPr>
                      <w:rFonts w:ascii="Century Gothic" w:hAnsi="Century Gothic"/>
                      <w:color w:val="006666"/>
                      <w:sz w:val="28"/>
                      <w:szCs w:val="28"/>
                    </w:rPr>
                    <w:t xml:space="preserve"> 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Attention problems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Loss of consciousness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Traumatic brain injury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Stroke (CVA)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Substance dependence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Diabetes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Seizure disorder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HIV disease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Personality change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Chronic mental illness</w:t>
                  </w:r>
                </w:p>
                <w:p w:rsidR="00E506D3" w:rsidRDefault="00E506D3" w:rsidP="00E506D3">
                  <w:pPr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Declining performance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-23.4pt;margin-top:46.15pt;width:215.8pt;height:500.55pt;z-index:251653120" stroked="f">
            <v:textbox style="mso-next-textbox:#_x0000_s1033">
              <w:txbxContent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32"/>
                      <w:szCs w:val="32"/>
                    </w:rPr>
                    <w:t>What is Neuropsychology?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18"/>
                      <w:szCs w:val="18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 neuropsychologist specializes in the assessment of brain-behavior relationships as well as the treatment of individuals who are having difficulty with their typical daily activities like work or caring for themselves or their family due to a medical or neurological condition.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32"/>
                      <w:szCs w:val="32"/>
                    </w:rPr>
                    <w:t>What to expect</w:t>
                  </w:r>
                </w:p>
                <w:p w:rsidR="00E506D3" w:rsidRDefault="00E506D3" w:rsidP="00E506D3">
                  <w:pPr>
                    <w:ind w:left="360"/>
                    <w:rPr>
                      <w:rFonts w:ascii="Century Gothic" w:hAnsi="Century Gothic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Evaluation focused on specific referral questions 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CB7D71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Verbal feedback</w:t>
                  </w:r>
                  <w:r w:rsidR="00E506D3">
                    <w:rPr>
                      <w:rFonts w:ascii="Century Gothic" w:hAnsi="Century Gothic"/>
                      <w:sz w:val="24"/>
                    </w:rPr>
                    <w:t xml:space="preserve"> shortly after the testing is complete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Concise and timely written reports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Recommendations, as requested, based on strengths and weaknesses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Documentation of change</w:t>
                  </w:r>
                  <w:r w:rsidR="00CB7D71">
                    <w:rPr>
                      <w:rFonts w:ascii="Century Gothic" w:hAnsi="Century Gothic"/>
                      <w:sz w:val="24"/>
                    </w:rPr>
                    <w:t>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over time</w:t>
                  </w:r>
                </w:p>
                <w:p w:rsidR="00E506D3" w:rsidRDefault="00E506D3" w:rsidP="00E506D3">
                  <w:pPr>
                    <w:rPr>
                      <w:rFonts w:ascii="Century Gothic" w:hAnsi="Century Gothic"/>
                      <w:sz w:val="10"/>
                      <w:szCs w:val="10"/>
                    </w:rPr>
                  </w:pPr>
                </w:p>
                <w:p w:rsidR="00E506D3" w:rsidRDefault="00E506D3" w:rsidP="00E506D3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Physician and family follow-up and consultation</w:t>
                  </w:r>
                </w:p>
                <w:p w:rsidR="00E506D3" w:rsidRDefault="00E506D3" w:rsidP="00E506D3"/>
              </w:txbxContent>
            </v:textbox>
          </v:shape>
        </w:pict>
      </w:r>
      <w:r>
        <w:pict>
          <v:shape id="_x0000_s1036" type="#_x0000_t202" style="position:absolute;margin-left:-1.3pt;margin-top:-3.55pt;width:478.4pt;height:53.25pt;z-index:251654144" stroked="f">
            <v:textbox style="mso-next-textbox:#_x0000_s1036">
              <w:txbxContent>
                <w:p w:rsidR="00E506D3" w:rsidRDefault="00E506D3" w:rsidP="00E506D3">
                  <w:pPr>
                    <w:rPr>
                      <w:rFonts w:ascii="Century Gothic" w:hAnsi="Century Gothic"/>
                      <w:b/>
                      <w:color w:val="000080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000080"/>
                      <w:sz w:val="48"/>
                      <w:szCs w:val="48"/>
                    </w:rPr>
                    <w:t>Neuropsychology Services at HRC</w:t>
                  </w:r>
                </w:p>
              </w:txbxContent>
            </v:textbox>
          </v:shape>
        </w:pict>
      </w:r>
      <w:r>
        <w:pict>
          <v:line id="_x0000_s1037" style="position:absolute;z-index:251655168" from="-48.1pt,31.95pt" to="435.5pt,31.95pt" strokecolor="#066" strokeweight="6pt">
            <v:stroke linestyle="thickBetweenThin"/>
          </v:line>
        </w:pict>
      </w:r>
      <w:r w:rsidR="00E506D3">
        <w:br w:type="page"/>
      </w:r>
      <w:r>
        <w:lastRenderedPageBreak/>
        <w:pict>
          <v:shape id="_x0000_s1029" type="#_x0000_t202" style="position:absolute;margin-left:240.5pt;margin-top:223.65pt;width:201.6pt;height:252.05pt;z-index:251656192" stroked="f">
            <v:textbox style="mso-next-textbox:#_x0000_s1029">
              <w:txbxContent>
                <w:p w:rsidR="00E506D3" w:rsidRDefault="00E506D3" w:rsidP="00E506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FOR FURTHER INFORMATION CONTACT:</w:t>
                  </w:r>
                </w:p>
                <w:p w:rsidR="00E506D3" w:rsidRDefault="00E506D3" w:rsidP="00E506D3">
                  <w:pPr>
                    <w:ind w:left="720"/>
                    <w:jc w:val="center"/>
                    <w:rPr>
                      <w:b/>
                    </w:rPr>
                  </w:pPr>
                </w:p>
                <w:p w:rsidR="00E506D3" w:rsidRDefault="00E506D3" w:rsidP="00E506D3">
                  <w:pPr>
                    <w:jc w:val="center"/>
                    <w:rPr>
                      <w:b/>
                      <w:color w:val="000080"/>
                      <w:sz w:val="24"/>
                    </w:rPr>
                  </w:pPr>
                  <w:r>
                    <w:rPr>
                      <w:b/>
                      <w:color w:val="000080"/>
                      <w:sz w:val="24"/>
                    </w:rPr>
                    <w:t>Mareah C. Steketee, PhD</w:t>
                  </w:r>
                </w:p>
                <w:p w:rsidR="00E506D3" w:rsidRDefault="00E506D3" w:rsidP="00E506D3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  <w:sz w:val="24"/>
                    </w:rPr>
                    <w:t>HRC Behavioral Health &amp; Psychiatry, PA</w:t>
                  </w:r>
                </w:p>
                <w:p w:rsidR="00E506D3" w:rsidRDefault="00E506D3" w:rsidP="00E506D3">
                  <w:pPr>
                    <w:jc w:val="center"/>
                  </w:pPr>
                </w:p>
                <w:p w:rsidR="00E506D3" w:rsidRDefault="00E506D3" w:rsidP="00E506D3">
                  <w:pPr>
                    <w:jc w:val="center"/>
                  </w:pPr>
                  <w:r>
                    <w:t>100 Europa Drive, Suite 260</w:t>
                  </w:r>
                </w:p>
                <w:p w:rsidR="00E506D3" w:rsidRDefault="00E506D3" w:rsidP="00E506D3">
                  <w:pPr>
                    <w:jc w:val="center"/>
                  </w:pPr>
                  <w:r>
                    <w:t>Chapel Hill, NC  27517</w:t>
                  </w:r>
                </w:p>
                <w:p w:rsidR="00E506D3" w:rsidRDefault="00E506D3" w:rsidP="00E506D3">
                  <w:pPr>
                    <w:jc w:val="center"/>
                  </w:pPr>
                  <w:r>
                    <w:t>(919) 929-1227</w:t>
                  </w:r>
                </w:p>
                <w:p w:rsidR="00E506D3" w:rsidRDefault="00E506D3" w:rsidP="00E506D3">
                  <w:pPr>
                    <w:jc w:val="center"/>
                  </w:pPr>
                </w:p>
                <w:p w:rsidR="00E506D3" w:rsidRDefault="00E506D3" w:rsidP="00E506D3">
                  <w:pPr>
                    <w:jc w:val="center"/>
                  </w:pPr>
                  <w:r>
                    <w:t>4201 Lake Boone Trail, Suite 201</w:t>
                  </w:r>
                </w:p>
                <w:p w:rsidR="00E506D3" w:rsidRDefault="00E506D3" w:rsidP="00E506D3">
                  <w:pPr>
                    <w:jc w:val="center"/>
                  </w:pPr>
                  <w:r>
                    <w:t>Raleigh, NC  27607</w:t>
                  </w:r>
                </w:p>
                <w:p w:rsidR="00E506D3" w:rsidRDefault="00E506D3" w:rsidP="00E506D3">
                  <w:pPr>
                    <w:jc w:val="center"/>
                  </w:pPr>
                  <w:r>
                    <w:t>(919) 785-0384</w:t>
                  </w:r>
                </w:p>
                <w:p w:rsidR="00E506D3" w:rsidRDefault="00E506D3" w:rsidP="00E506D3">
                  <w:pPr>
                    <w:jc w:val="center"/>
                  </w:pPr>
                </w:p>
                <w:p w:rsidR="00E506D3" w:rsidRDefault="00E506D3" w:rsidP="00E506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Voice Mail (919) 442-1127</w:t>
                  </w:r>
                </w:p>
                <w:p w:rsidR="00E506D3" w:rsidRDefault="00E506D3" w:rsidP="00E506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mcsteket@email.unc.edu</w:t>
                  </w:r>
                </w:p>
                <w:p w:rsidR="00E506D3" w:rsidRDefault="00E506D3" w:rsidP="00E506D3">
                  <w:pPr>
                    <w:jc w:val="center"/>
                  </w:pPr>
                </w:p>
                <w:p w:rsidR="00E506D3" w:rsidRDefault="00E173F9" w:rsidP="00E506D3">
                  <w:pPr>
                    <w:jc w:val="center"/>
                    <w:rPr>
                      <w:color w:val="000080"/>
                      <w:sz w:val="18"/>
                    </w:rPr>
                  </w:pPr>
                  <w:hyperlink r:id="rId6" w:history="1">
                    <w:r w:rsidR="00E506D3">
                      <w:rPr>
                        <w:rStyle w:val="Hyperlink"/>
                        <w:sz w:val="18"/>
                      </w:rPr>
                      <w:t>www.hrc-pa.com</w:t>
                    </w:r>
                  </w:hyperlink>
                </w:p>
                <w:p w:rsidR="00E506D3" w:rsidRDefault="00E506D3" w:rsidP="00E506D3">
                  <w:pPr>
                    <w:jc w:val="center"/>
                    <w:rPr>
                      <w:color w:val="000080"/>
                      <w:sz w:val="18"/>
                    </w:rPr>
                  </w:pPr>
                </w:p>
                <w:p w:rsidR="00E506D3" w:rsidRDefault="00E506D3" w:rsidP="00E506D3">
                  <w:pPr>
                    <w:jc w:val="center"/>
                  </w:pPr>
                </w:p>
                <w:p w:rsidR="00E506D3" w:rsidRDefault="00E506D3" w:rsidP="00E506D3"/>
              </w:txbxContent>
            </v:textbox>
          </v:shape>
        </w:pict>
      </w:r>
      <w:r>
        <w:pict>
          <v:shape id="_x0000_s1038" type="#_x0000_t202" style="position:absolute;margin-left:556.4pt;margin-top:223.65pt;width:96.85pt;height:90.2pt;z-index:251657216" stroked="f">
            <v:textbox>
              <w:txbxContent>
                <w:p w:rsidR="00E506D3" w:rsidRDefault="00E506D3" w:rsidP="00E506D3">
                  <w:pPr>
                    <w:rPr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5210" cy="1056640"/>
                        <wp:effectExtent l="19050" t="0" r="254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210" cy="105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039" type="#_x0000_t202" style="position:absolute;margin-left:239.2pt;margin-top:28.4pt;width:43.15pt;height:31.95pt;z-index:251658240" stroked="f">
            <v:textbox style="mso-next-textbox:#_x0000_s1039">
              <w:txbxContent>
                <w:p w:rsidR="00E506D3" w:rsidRDefault="00E506D3" w:rsidP="00E506D3">
                  <w:pPr>
                    <w:rPr>
                      <w:noProof/>
                    </w:rPr>
                  </w:pPr>
                  <w:r>
                    <w:object w:dxaOrig="15118" w:dyaOrig="134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pt;height:27.1pt" o:ole="">
                        <v:imagedata r:id="rId8" o:title=""/>
                      </v:shape>
                      <o:OLEObject Type="Embed" ProgID="MSPhotoEd.3" ShapeID="_x0000_i1025" DrawAspect="Content" ObjectID="_1544945841" r:id="rId9"/>
                    </w:objec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239.2pt;margin-top:28.4pt;width:230.1pt;height:50.4pt;z-index:251659264" stroked="f">
            <v:textbox style="mso-next-textbox:#_x0000_s1027">
              <w:txbxContent>
                <w:p w:rsidR="00E506D3" w:rsidRDefault="00CB7D71" w:rsidP="00E506D3">
                  <w:pPr>
                    <w:rPr>
                      <w:b/>
                      <w:color w:val="000080"/>
                      <w:sz w:val="28"/>
                    </w:rPr>
                  </w:pPr>
                  <w:r>
                    <w:rPr>
                      <w:b/>
                      <w:color w:val="000080"/>
                      <w:sz w:val="28"/>
                    </w:rPr>
                    <w:t xml:space="preserve">         </w:t>
                  </w:r>
                  <w:r w:rsidR="00E506D3">
                    <w:rPr>
                      <w:b/>
                      <w:color w:val="000080"/>
                      <w:sz w:val="28"/>
                    </w:rPr>
                    <w:t xml:space="preserve"> HRC Behavioral</w:t>
                  </w:r>
                </w:p>
                <w:p w:rsidR="00E506D3" w:rsidRDefault="00E41AE1" w:rsidP="00E41AE1">
                  <w:pPr>
                    <w:rPr>
                      <w:b/>
                      <w:color w:val="000080"/>
                      <w:sz w:val="28"/>
                    </w:rPr>
                  </w:pPr>
                  <w:r>
                    <w:rPr>
                      <w:b/>
                      <w:color w:val="000080"/>
                      <w:sz w:val="28"/>
                    </w:rPr>
                    <w:t xml:space="preserve">   </w:t>
                  </w:r>
                  <w:r w:rsidR="00E506D3">
                    <w:rPr>
                      <w:b/>
                      <w:color w:val="000080"/>
                      <w:sz w:val="28"/>
                    </w:rPr>
                    <w:t xml:space="preserve"> Health &amp; Psychiatry, PA</w:t>
                  </w:r>
                </w:p>
                <w:p w:rsidR="00E506D3" w:rsidRDefault="00E506D3" w:rsidP="00E506D3"/>
              </w:txbxContent>
            </v:textbox>
          </v:shape>
        </w:pict>
      </w:r>
      <w:r>
        <w:pict>
          <v:shape id="_x0000_s1028" type="#_x0000_t202" style="position:absolute;margin-left:240.5pt;margin-top:85.2pt;width:201.6pt;height:79.2pt;z-index:251660288" stroked="f">
            <v:textbox style="mso-next-textbox:#_x0000_s1028">
              <w:txbxContent>
                <w:p w:rsidR="00E506D3" w:rsidRDefault="00E506D3" w:rsidP="00E506D3">
                  <w:pPr>
                    <w:jc w:val="center"/>
                  </w:pPr>
                  <w:r>
                    <w:rPr>
                      <w:sz w:val="20"/>
                    </w:rPr>
                    <w:t>A choice for quality and security; a choice for competence, experience, individual attention, and feedback.  HRC has been providing clinical, consultation, and programmatic services for over 30 years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505.7pt;margin-top:337.25pt;width:194.4pt;height:124.25pt;z-index:251661312" stroked="f">
            <v:textbox>
              <w:txbxContent>
                <w:p w:rsidR="00E506D3" w:rsidRDefault="00E506D3" w:rsidP="00E506D3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E506D3" w:rsidRDefault="00E506D3" w:rsidP="00E506D3">
                  <w:pPr>
                    <w:jc w:val="center"/>
                    <w:rPr>
                      <w:rFonts w:ascii="Revenue" w:hAnsi="Revenue"/>
                      <w:b/>
                      <w:color w:val="000080"/>
                      <w:sz w:val="32"/>
                    </w:rPr>
                  </w:pPr>
                  <w:r>
                    <w:rPr>
                      <w:rFonts w:ascii="Revenue" w:hAnsi="Revenue"/>
                      <w:b/>
                      <w:color w:val="000080"/>
                      <w:sz w:val="32"/>
                    </w:rPr>
                    <w:t>HRC Behavioral Health &amp; Psychiatry, PA</w:t>
                  </w:r>
                </w:p>
                <w:p w:rsidR="00E506D3" w:rsidRDefault="00E506D3" w:rsidP="00E506D3">
                  <w:pPr>
                    <w:jc w:val="center"/>
                    <w:rPr>
                      <w:sz w:val="28"/>
                    </w:rPr>
                  </w:pPr>
                </w:p>
                <w:p w:rsidR="00E506D3" w:rsidRDefault="00E506D3" w:rsidP="00E506D3">
                  <w:pPr>
                    <w:jc w:val="center"/>
                    <w:rPr>
                      <w:b/>
                      <w:color w:val="006666"/>
                      <w:sz w:val="24"/>
                    </w:rPr>
                  </w:pPr>
                  <w:r>
                    <w:rPr>
                      <w:b/>
                      <w:color w:val="006666"/>
                      <w:sz w:val="24"/>
                    </w:rPr>
                    <w:t>Mareah C. Steketee, PhD</w:t>
                  </w:r>
                </w:p>
                <w:p w:rsidR="00E506D3" w:rsidRDefault="00CB7D71" w:rsidP="00E506D3">
                  <w:pPr>
                    <w:ind w:right="-630"/>
                    <w:rPr>
                      <w:b/>
                      <w:color w:val="006666"/>
                      <w:sz w:val="24"/>
                    </w:rPr>
                  </w:pPr>
                  <w:r>
                    <w:rPr>
                      <w:b/>
                      <w:color w:val="006666"/>
                      <w:sz w:val="24"/>
                    </w:rPr>
                    <w:t xml:space="preserve">         Licensed</w:t>
                  </w:r>
                  <w:r w:rsidR="00E506D3">
                    <w:rPr>
                      <w:b/>
                      <w:color w:val="006666"/>
                      <w:sz w:val="24"/>
                    </w:rPr>
                    <w:t xml:space="preserve"> Psychologist</w:t>
                  </w:r>
                </w:p>
                <w:p w:rsidR="00CB7D71" w:rsidRDefault="00CB7D71" w:rsidP="00CB7D71">
                  <w:pPr>
                    <w:ind w:right="-630"/>
                    <w:rPr>
                      <w:b/>
                      <w:color w:val="006666"/>
                      <w:sz w:val="24"/>
                    </w:rPr>
                  </w:pPr>
                  <w:r>
                    <w:rPr>
                      <w:b/>
                      <w:color w:val="006666"/>
                      <w:sz w:val="24"/>
                    </w:rPr>
                    <w:t xml:space="preserve">     Clinical Neuropsychologist</w:t>
                  </w:r>
                </w:p>
                <w:p w:rsidR="00CB7D71" w:rsidRDefault="00CB7D71" w:rsidP="00E506D3">
                  <w:pPr>
                    <w:ind w:right="-630"/>
                    <w:rPr>
                      <w:b/>
                      <w:color w:val="006666"/>
                    </w:rPr>
                  </w:pPr>
                </w:p>
                <w:p w:rsidR="00E506D3" w:rsidRDefault="00E506D3" w:rsidP="00E506D3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0" type="#_x0000_t202" style="position:absolute;margin-left:501.8pt;margin-top:106.5pt;width:198.9pt;height:88.75pt;z-index:251662336" stroked="f">
            <v:textbox style="mso-next-textbox:#_x0000_s1030">
              <w:txbxContent>
                <w:p w:rsidR="00E506D3" w:rsidRDefault="00E506D3" w:rsidP="00E506D3">
                  <w:pPr>
                    <w:jc w:val="center"/>
                    <w:rPr>
                      <w:color w:val="006666"/>
                      <w:sz w:val="40"/>
                      <w:szCs w:val="40"/>
                    </w:rPr>
                  </w:pPr>
                  <w:r>
                    <w:rPr>
                      <w:color w:val="006666"/>
                      <w:sz w:val="40"/>
                      <w:szCs w:val="40"/>
                    </w:rPr>
                    <w:t>Assessment</w:t>
                  </w:r>
                </w:p>
                <w:p w:rsidR="00CB7D71" w:rsidRDefault="00CB7D71" w:rsidP="00E506D3">
                  <w:pPr>
                    <w:jc w:val="center"/>
                    <w:rPr>
                      <w:color w:val="006666"/>
                      <w:sz w:val="40"/>
                      <w:szCs w:val="40"/>
                    </w:rPr>
                  </w:pPr>
                  <w:r>
                    <w:rPr>
                      <w:color w:val="006666"/>
                      <w:sz w:val="40"/>
                      <w:szCs w:val="40"/>
                    </w:rPr>
                    <w:t>&amp;</w:t>
                  </w:r>
                </w:p>
                <w:p w:rsidR="00E506D3" w:rsidRDefault="00E506D3" w:rsidP="00E506D3">
                  <w:pPr>
                    <w:jc w:val="center"/>
                    <w:rPr>
                      <w:color w:val="006666"/>
                      <w:sz w:val="40"/>
                      <w:szCs w:val="40"/>
                    </w:rPr>
                  </w:pPr>
                  <w:r>
                    <w:rPr>
                      <w:color w:val="006666"/>
                      <w:sz w:val="40"/>
                      <w:szCs w:val="40"/>
                    </w:rPr>
                    <w:t>Treatment</w:t>
                  </w:r>
                </w:p>
                <w:p w:rsidR="00E506D3" w:rsidRDefault="00E506D3" w:rsidP="00E506D3">
                  <w:pPr>
                    <w:jc w:val="center"/>
                    <w:rPr>
                      <w:color w:val="006666"/>
                      <w:sz w:val="44"/>
                      <w:szCs w:val="44"/>
                    </w:rPr>
                  </w:pPr>
                </w:p>
                <w:p w:rsidR="00E506D3" w:rsidRDefault="00E506D3" w:rsidP="00E506D3">
                  <w:pPr>
                    <w:jc w:val="center"/>
                    <w:rPr>
                      <w:color w:val="00008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margin-left:494pt;margin-top:21.3pt;width:222.3pt;height:63.9pt;z-index:251663360" stroked="f">
            <v:textbox>
              <w:txbxContent>
                <w:p w:rsidR="00E506D3" w:rsidRDefault="00E506D3" w:rsidP="00E506D3">
                  <w:pPr>
                    <w:jc w:val="center"/>
                    <w:rPr>
                      <w:rFonts w:ascii="Revenue" w:hAnsi="Revenue"/>
                      <w:b/>
                      <w:color w:val="000080"/>
                      <w:sz w:val="48"/>
                      <w:szCs w:val="48"/>
                    </w:rPr>
                  </w:pPr>
                  <w:r>
                    <w:rPr>
                      <w:rFonts w:ascii="Revenue" w:hAnsi="Revenue"/>
                      <w:b/>
                      <w:color w:val="000080"/>
                      <w:sz w:val="48"/>
                      <w:szCs w:val="48"/>
                    </w:rPr>
                    <w:t>Neuropsychology</w:t>
                  </w:r>
                </w:p>
                <w:p w:rsidR="00E506D3" w:rsidRDefault="00E506D3" w:rsidP="00E506D3">
                  <w:pPr>
                    <w:jc w:val="center"/>
                    <w:rPr>
                      <w:rFonts w:ascii="Revenue" w:hAnsi="Revenue"/>
                      <w:b/>
                      <w:color w:val="000080"/>
                      <w:sz w:val="48"/>
                      <w:szCs w:val="48"/>
                    </w:rPr>
                  </w:pPr>
                  <w:r>
                    <w:rPr>
                      <w:rFonts w:ascii="Revenue" w:hAnsi="Revenue"/>
                      <w:b/>
                      <w:color w:val="000080"/>
                      <w:sz w:val="48"/>
                      <w:szCs w:val="48"/>
                    </w:rPr>
                    <w:t>Services</w:t>
                  </w:r>
                </w:p>
                <w:p w:rsidR="00E506D3" w:rsidRDefault="00E506D3" w:rsidP="00E506D3"/>
              </w:txbxContent>
            </v:textbox>
          </v:shape>
        </w:pict>
      </w:r>
      <w:r>
        <w:pict>
          <v:shape id="_x0000_s1026" type="#_x0000_t202" style="position:absolute;margin-left:-13pt;margin-top:134.9pt;width:187.2pt;height:287.55pt;z-index:251664384" stroked="f">
            <v:textbox style="mso-next-textbox:#_x0000_s1026">
              <w:txbxContent>
                <w:p w:rsidR="00E506D3" w:rsidRDefault="00E506D3" w:rsidP="00E506D3">
                  <w:pPr>
                    <w:rPr>
                      <w:sz w:val="24"/>
                    </w:rPr>
                  </w:pPr>
                  <w:r>
                    <w:rPr>
                      <w:b/>
                      <w:color w:val="000080"/>
                      <w:sz w:val="24"/>
                    </w:rPr>
                    <w:t>Mareah C. Steketee, PhD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E506D3" w:rsidRDefault="00E506D3" w:rsidP="00E506D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is a licensed clinical psychologist with specialty training in neuropsychology and health psychology.  She is a graduate of the California School of Professional Psychology and has been in private practice offering neuropsychology</w:t>
                  </w:r>
                  <w:r w:rsidR="00CB7D71">
                    <w:rPr>
                      <w:sz w:val="24"/>
                    </w:rPr>
                    <w:t xml:space="preserve"> services</w:t>
                  </w:r>
                  <w:r>
                    <w:rPr>
                      <w:sz w:val="24"/>
                    </w:rPr>
                    <w:t xml:space="preserve">, DBT Skills </w:t>
                  </w:r>
                  <w:r w:rsidR="00CB7D71">
                    <w:rPr>
                      <w:sz w:val="24"/>
                    </w:rPr>
                    <w:t>G</w:t>
                  </w:r>
                  <w:r>
                    <w:rPr>
                      <w:sz w:val="24"/>
                    </w:rPr>
                    <w:t>roup</w:t>
                  </w:r>
                  <w:r w:rsidR="00CB7D71">
                    <w:rPr>
                      <w:sz w:val="24"/>
                    </w:rPr>
                    <w:t>s,</w:t>
                  </w:r>
                  <w:r>
                    <w:rPr>
                      <w:sz w:val="24"/>
                    </w:rPr>
                    <w:t xml:space="preserve"> and individual therapy at HRC since 2002. She has longst</w:t>
                  </w:r>
                  <w:r w:rsidR="00CB7D71">
                    <w:rPr>
                      <w:sz w:val="24"/>
                    </w:rPr>
                    <w:t xml:space="preserve">anding interests in neuroscience and </w:t>
                  </w:r>
                  <w:r>
                    <w:rPr>
                      <w:sz w:val="24"/>
                    </w:rPr>
                    <w:t>mindfulness, which she incorporates in</w:t>
                  </w:r>
                  <w:r w:rsidR="00467ED0">
                    <w:rPr>
                      <w:sz w:val="24"/>
                    </w:rPr>
                    <w:t>to</w:t>
                  </w:r>
                  <w:r>
                    <w:rPr>
                      <w:sz w:val="24"/>
                    </w:rPr>
                    <w:t xml:space="preserve"> her </w:t>
                  </w:r>
                  <w:r w:rsidR="00CB7D71">
                    <w:rPr>
                      <w:sz w:val="24"/>
                    </w:rPr>
                    <w:t xml:space="preserve">orientation to assessment and </w:t>
                  </w:r>
                  <w:r>
                    <w:rPr>
                      <w:sz w:val="24"/>
                    </w:rPr>
                    <w:t>treatment.</w:t>
                  </w:r>
                </w:p>
                <w:p w:rsidR="00E506D3" w:rsidRDefault="00E506D3" w:rsidP="00E506D3"/>
              </w:txbxContent>
            </v:textbox>
          </v:shape>
        </w:pict>
      </w:r>
      <w:r w:rsidR="00E506D3">
        <w:tab/>
      </w:r>
      <w:r w:rsidR="00E506D3">
        <w:tab/>
      </w:r>
      <w:r w:rsidR="00E506D3">
        <w:tab/>
      </w:r>
      <w:r w:rsidR="00E506D3">
        <w:tab/>
      </w:r>
      <w:r w:rsidR="00E506D3">
        <w:tab/>
      </w:r>
      <w:r w:rsidR="00E506D3">
        <w:tab/>
      </w:r>
      <w:r w:rsidR="00E506D3">
        <w:tab/>
      </w:r>
      <w:r w:rsidR="00E506D3">
        <w:tab/>
      </w:r>
      <w:r w:rsidR="00E506D3">
        <w:tab/>
        <w:t xml:space="preserve">  </w:t>
      </w:r>
    </w:p>
    <w:p w:rsidR="00475981" w:rsidRDefault="00475981"/>
    <w:sectPr w:rsidR="00475981" w:rsidSect="00797B6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ven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4A0"/>
    <w:multiLevelType w:val="hybridMultilevel"/>
    <w:tmpl w:val="3A60C55A"/>
    <w:lvl w:ilvl="0" w:tplc="1C24E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49BA"/>
    <w:multiLevelType w:val="hybridMultilevel"/>
    <w:tmpl w:val="2D2AF6BA"/>
    <w:lvl w:ilvl="0" w:tplc="96969ED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A66BC"/>
    <w:multiLevelType w:val="hybridMultilevel"/>
    <w:tmpl w:val="2CF41430"/>
    <w:lvl w:ilvl="0" w:tplc="96969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3F08482">
      <w:start w:val="1"/>
      <w:numFmt w:val="bullet"/>
      <w:lvlText w:val=""/>
      <w:lvlJc w:val="left"/>
      <w:pPr>
        <w:tabs>
          <w:tab w:val="num" w:pos="936"/>
        </w:tabs>
        <w:ind w:left="1440" w:hanging="720"/>
      </w:pPr>
      <w:rPr>
        <w:rFonts w:ascii="Symbol" w:hAnsi="Symbol" w:hint="default"/>
        <w:color w:val="auto"/>
        <w:sz w:val="18"/>
        <w:szCs w:val="18"/>
      </w:rPr>
    </w:lvl>
    <w:lvl w:ilvl="2" w:tplc="96969E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71F94"/>
    <w:multiLevelType w:val="hybridMultilevel"/>
    <w:tmpl w:val="41CA74FC"/>
    <w:lvl w:ilvl="0" w:tplc="96969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3F08482">
      <w:start w:val="1"/>
      <w:numFmt w:val="bullet"/>
      <w:lvlText w:val=""/>
      <w:lvlJc w:val="left"/>
      <w:pPr>
        <w:tabs>
          <w:tab w:val="num" w:pos="936"/>
        </w:tabs>
        <w:ind w:left="1440" w:hanging="720"/>
      </w:pPr>
      <w:rPr>
        <w:rFonts w:ascii="Symbol" w:hAnsi="Symbol" w:hint="default"/>
        <w:color w:val="auto"/>
        <w:sz w:val="18"/>
        <w:szCs w:val="18"/>
      </w:rPr>
    </w:lvl>
    <w:lvl w:ilvl="2" w:tplc="96969E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D0F35"/>
    <w:multiLevelType w:val="hybridMultilevel"/>
    <w:tmpl w:val="338857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A2B8B"/>
    <w:multiLevelType w:val="hybridMultilevel"/>
    <w:tmpl w:val="FC504662"/>
    <w:lvl w:ilvl="0" w:tplc="96969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69E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E506D3"/>
    <w:rsid w:val="003C7370"/>
    <w:rsid w:val="0041676F"/>
    <w:rsid w:val="00467ED0"/>
    <w:rsid w:val="00475981"/>
    <w:rsid w:val="006E485D"/>
    <w:rsid w:val="00795295"/>
    <w:rsid w:val="00797B62"/>
    <w:rsid w:val="009B7E86"/>
    <w:rsid w:val="00AB7267"/>
    <w:rsid w:val="00CB7D71"/>
    <w:rsid w:val="00E173F9"/>
    <w:rsid w:val="00E41AE1"/>
    <w:rsid w:val="00E5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D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506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c-pa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A543C-9ACF-41E9-8CEB-5758DEF1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pbarnett</dc:creator>
  <cp:lastModifiedBy>awright</cp:lastModifiedBy>
  <cp:revision>2</cp:revision>
  <cp:lastPrinted>2015-12-04T20:35:00Z</cp:lastPrinted>
  <dcterms:created xsi:type="dcterms:W3CDTF">2017-01-03T15:51:00Z</dcterms:created>
  <dcterms:modified xsi:type="dcterms:W3CDTF">2017-01-03T15:51:00Z</dcterms:modified>
</cp:coreProperties>
</file>